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48"/>
        <w:gridCol w:w="236"/>
        <w:gridCol w:w="236"/>
        <w:gridCol w:w="4550"/>
      </w:tblGrid>
      <w:tr w:rsidR="00F73F73" w:rsidRPr="00F73F73" w:rsidTr="00305318">
        <w:tc>
          <w:tcPr>
            <w:tcW w:w="4548" w:type="dxa"/>
          </w:tcPr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«ПЕКТУБАЙ </w:t>
            </w: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>ЯЛЫСЕ ИЛЕМ» МУНИЦИПАЛЬНЫЙ ОБРАЗОВАНИЙЫН  АДМИНИСТРАЦИЙЖЕ</w:t>
            </w: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</w:tcPr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«ПЕКТУБАЕВСКОЕ </w:t>
            </w: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ПОСЕЛЕНИЕ» </w:t>
            </w: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F73" w:rsidRPr="00F73F73" w:rsidRDefault="00F73F73" w:rsidP="00F73F73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ПОСТАНОВЛЕНИЕ</w:t>
            </w:r>
          </w:p>
        </w:tc>
      </w:tr>
    </w:tbl>
    <w:p w:rsidR="00F73F73" w:rsidRPr="00F73F73" w:rsidRDefault="00F73F73" w:rsidP="00F73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73" w:rsidRPr="00F73F73" w:rsidRDefault="00F73F73" w:rsidP="00F73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73" w:rsidRPr="00F73F73" w:rsidRDefault="00F73F73" w:rsidP="00F73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73" w:rsidRPr="00F73F73" w:rsidRDefault="00F73F73" w:rsidP="00F73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73">
        <w:rPr>
          <w:rFonts w:ascii="Times New Roman" w:hAnsi="Times New Roman" w:cs="Times New Roman"/>
          <w:sz w:val="28"/>
          <w:szCs w:val="28"/>
        </w:rPr>
        <w:t xml:space="preserve">от </w:t>
      </w:r>
      <w:r w:rsidR="002751D0">
        <w:rPr>
          <w:rFonts w:ascii="Times New Roman" w:hAnsi="Times New Roman" w:cs="Times New Roman"/>
          <w:sz w:val="28"/>
          <w:szCs w:val="28"/>
        </w:rPr>
        <w:t xml:space="preserve">  </w:t>
      </w:r>
      <w:r w:rsidR="00A3311F">
        <w:rPr>
          <w:rFonts w:ascii="Times New Roman" w:hAnsi="Times New Roman" w:cs="Times New Roman"/>
          <w:sz w:val="28"/>
          <w:szCs w:val="28"/>
        </w:rPr>
        <w:t>16</w:t>
      </w:r>
      <w:r w:rsidR="00967647">
        <w:rPr>
          <w:rFonts w:ascii="Times New Roman" w:hAnsi="Times New Roman" w:cs="Times New Roman"/>
          <w:sz w:val="28"/>
          <w:szCs w:val="28"/>
        </w:rPr>
        <w:t xml:space="preserve"> </w:t>
      </w:r>
      <w:r w:rsidR="00A3311F">
        <w:rPr>
          <w:rFonts w:ascii="Times New Roman" w:hAnsi="Times New Roman" w:cs="Times New Roman"/>
          <w:sz w:val="28"/>
          <w:szCs w:val="28"/>
        </w:rPr>
        <w:t>октября</w:t>
      </w:r>
      <w:r w:rsidR="009927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73F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A3311F">
        <w:rPr>
          <w:rFonts w:ascii="Times New Roman" w:hAnsi="Times New Roman" w:cs="Times New Roman"/>
          <w:sz w:val="28"/>
          <w:szCs w:val="28"/>
        </w:rPr>
        <w:t>96</w:t>
      </w:r>
    </w:p>
    <w:p w:rsidR="00F73F73" w:rsidRPr="00F73F73" w:rsidRDefault="00F73F73" w:rsidP="00F73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49D" w:rsidRDefault="0095249D" w:rsidP="0095249D">
      <w:pPr>
        <w:shd w:val="clear" w:color="auto" w:fill="FFFFFF"/>
        <w:tabs>
          <w:tab w:val="left" w:pos="1418"/>
        </w:tabs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95249D">
        <w:rPr>
          <w:rFonts w:ascii="Times New Roman" w:hAnsi="Times New Roman"/>
          <w:bCs/>
          <w:sz w:val="28"/>
          <w:szCs w:val="28"/>
        </w:rPr>
        <w:t xml:space="preserve">О формировании фонда капитального ремонта многоквартирных домов </w:t>
      </w:r>
    </w:p>
    <w:p w:rsidR="0095249D" w:rsidRDefault="0095249D" w:rsidP="0095249D">
      <w:pPr>
        <w:shd w:val="clear" w:color="auto" w:fill="FFFFFF"/>
        <w:tabs>
          <w:tab w:val="left" w:pos="1418"/>
        </w:tabs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95249D">
        <w:rPr>
          <w:rFonts w:ascii="Times New Roman" w:hAnsi="Times New Roman"/>
          <w:bCs/>
          <w:sz w:val="28"/>
          <w:szCs w:val="28"/>
        </w:rPr>
        <w:t>на счете регионального оператора</w:t>
      </w:r>
    </w:p>
    <w:p w:rsidR="0095249D" w:rsidRDefault="0095249D" w:rsidP="0095249D">
      <w:pPr>
        <w:shd w:val="clear" w:color="auto" w:fill="FFFFFF"/>
        <w:tabs>
          <w:tab w:val="left" w:pos="1418"/>
        </w:tabs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95249D" w:rsidRPr="0095249D" w:rsidRDefault="0095249D" w:rsidP="0095249D">
      <w:pPr>
        <w:shd w:val="clear" w:color="auto" w:fill="FFFFFF"/>
        <w:tabs>
          <w:tab w:val="left" w:pos="1418"/>
        </w:tabs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95249D" w:rsidRDefault="0095249D" w:rsidP="0095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7 ст. 170 Жилищного кодекса РФ, ч. 6 ст. 43 Федерального закона от 06.10.2003 г. № 131-ФЗ «Об общих принципах организации местного самоуправления в Российской Федерации», ст. 9 Закона Республики Марий Эл от 20.09.2013 г. № 35-З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Эл», Администрация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«Пектубаевское сельское поселение» </w:t>
      </w:r>
    </w:p>
    <w:p w:rsidR="0095249D" w:rsidRDefault="0095249D" w:rsidP="009524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249D" w:rsidRPr="003D3747" w:rsidRDefault="0095249D" w:rsidP="009524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84A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4A93">
        <w:rPr>
          <w:rFonts w:ascii="Times New Roman" w:hAnsi="Times New Roman"/>
          <w:color w:val="000000"/>
          <w:sz w:val="28"/>
          <w:szCs w:val="28"/>
        </w:rPr>
        <w:t xml:space="preserve">Выбрать способ формирования фонда капитального ремонта для многоквартирных домов,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«Пектубаевское сельское поселение»</w:t>
      </w:r>
      <w:r w:rsidRPr="00E84A93">
        <w:rPr>
          <w:rFonts w:ascii="Times New Roman" w:hAnsi="Times New Roman"/>
          <w:color w:val="000000"/>
          <w:sz w:val="28"/>
          <w:szCs w:val="28"/>
        </w:rPr>
        <w:t>, собственники помещений которых не выбрали способ формирования фонда капитального ремонта или выбранный ими способ не был реализован в установленный законом срок, на счете регионального оператора – Республиканского фонда капитального ремонта на территории Республики Марий Эл.</w:t>
      </w:r>
      <w:proofErr w:type="gramEnd"/>
    </w:p>
    <w:p w:rsidR="0095249D" w:rsidRDefault="0095249D" w:rsidP="0095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многоквартирных домов,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«Пектубаевское  сельское поселение», собственники помещений в которых в течение шести месяцев после официального опубликования постановления Правительства Республики Марий Эл от 31.12.2013 г. № 460 «Об утверждении республиканской адресной программы «Проведение капитального ремонта общего имущества в многоквартирных домах» на 2014 - 2043 годы» (далее - Перечень) не выбрали способ формирования фонда капитального ремонта.</w:t>
      </w:r>
      <w:proofErr w:type="gramEnd"/>
    </w:p>
    <w:p w:rsidR="0095249D" w:rsidRPr="00C27089" w:rsidRDefault="0095249D" w:rsidP="0095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color w:val="000000"/>
          <w:spacing w:val="-3"/>
          <w:w w:val="102"/>
          <w:szCs w:val="28"/>
        </w:rPr>
        <w:t xml:space="preserve"> </w:t>
      </w:r>
      <w:r w:rsidRPr="0095249D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Обнародовать настоящее постановление на информационных стендах муниципального образования «Пектубаевское сельское поселение»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95249D">
          <w:rPr>
            <w:rStyle w:val="a3"/>
            <w:rFonts w:ascii="Times New Roman" w:hAnsi="Times New Roman" w:cs="Times New Roman"/>
            <w:color w:val="000000"/>
            <w:spacing w:val="-3"/>
            <w:w w:val="102"/>
            <w:sz w:val="28"/>
            <w:szCs w:val="28"/>
          </w:rPr>
          <w:t>http://toryal.ru</w:t>
        </w:r>
      </w:hyperlink>
      <w:r w:rsidRPr="0095249D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. </w:t>
      </w:r>
    </w:p>
    <w:p w:rsidR="0095249D" w:rsidRPr="0095249D" w:rsidRDefault="0095249D" w:rsidP="0095249D">
      <w:pPr>
        <w:spacing w:after="0"/>
        <w:ind w:firstLine="672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color w:val="000000"/>
          <w:spacing w:val="-3"/>
          <w:w w:val="102"/>
          <w:szCs w:val="28"/>
        </w:rPr>
        <w:t xml:space="preserve"> </w:t>
      </w:r>
      <w:proofErr w:type="gramStart"/>
      <w:r w:rsidRPr="0095249D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Контроль за</w:t>
      </w:r>
      <w:proofErr w:type="gramEnd"/>
      <w:r w:rsidRPr="0095249D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исполнением настоящего </w:t>
      </w:r>
      <w:r w:rsidR="00CA7CD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постановления </w:t>
      </w:r>
      <w:r w:rsidRPr="0095249D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оставляю за собой.</w:t>
      </w:r>
    </w:p>
    <w:p w:rsidR="00F73F73" w:rsidRDefault="00F73F73" w:rsidP="00F7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9D" w:rsidRPr="00F73F73" w:rsidRDefault="0095249D" w:rsidP="00F7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F73" w:rsidRPr="00F73F73" w:rsidRDefault="00F73F73" w:rsidP="00F7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F73">
        <w:rPr>
          <w:rFonts w:ascii="Times New Roman" w:hAnsi="Times New Roman" w:cs="Times New Roman"/>
          <w:sz w:val="28"/>
          <w:szCs w:val="28"/>
        </w:rPr>
        <w:t xml:space="preserve">И.о главы  администрации </w:t>
      </w:r>
    </w:p>
    <w:p w:rsidR="00F73F73" w:rsidRPr="00F73F73" w:rsidRDefault="00F73F73" w:rsidP="00F7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F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3F73" w:rsidRPr="00F73F73" w:rsidRDefault="00F73F73" w:rsidP="00F73F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3F73"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  <w:r w:rsidRPr="00F73F73">
        <w:rPr>
          <w:rFonts w:ascii="Times New Roman" w:hAnsi="Times New Roman" w:cs="Times New Roman"/>
          <w:sz w:val="28"/>
          <w:szCs w:val="28"/>
        </w:rPr>
        <w:tab/>
      </w:r>
      <w:r w:rsidRPr="00F73F73">
        <w:rPr>
          <w:rFonts w:ascii="Times New Roman" w:hAnsi="Times New Roman" w:cs="Times New Roman"/>
          <w:sz w:val="28"/>
          <w:szCs w:val="28"/>
        </w:rPr>
        <w:tab/>
      </w:r>
      <w:r w:rsidRPr="00F73F73">
        <w:rPr>
          <w:rFonts w:ascii="Times New Roman" w:hAnsi="Times New Roman" w:cs="Times New Roman"/>
          <w:sz w:val="28"/>
          <w:szCs w:val="28"/>
        </w:rPr>
        <w:tab/>
      </w:r>
      <w:r w:rsidRPr="00F73F73">
        <w:rPr>
          <w:rFonts w:ascii="Times New Roman" w:hAnsi="Times New Roman" w:cs="Times New Roman"/>
          <w:sz w:val="28"/>
          <w:szCs w:val="28"/>
        </w:rPr>
        <w:tab/>
      </w:r>
      <w:r w:rsidR="00863F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3F73">
        <w:rPr>
          <w:rFonts w:ascii="Times New Roman" w:hAnsi="Times New Roman" w:cs="Times New Roman"/>
          <w:sz w:val="28"/>
          <w:szCs w:val="28"/>
        </w:rPr>
        <w:t xml:space="preserve">Д. Портнов </w:t>
      </w:r>
    </w:p>
    <w:p w:rsidR="00F73F73" w:rsidRPr="00F73F73" w:rsidRDefault="00F73F73" w:rsidP="00F73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F73" w:rsidRPr="00F73F73" w:rsidRDefault="00F73F73" w:rsidP="00F73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311F" w:rsidRDefault="00A3311F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311F" w:rsidRDefault="00A3311F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Pr="00E84A93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Pr="00E84A93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W w:w="9039" w:type="dxa"/>
        <w:tblLook w:val="00A0"/>
      </w:tblPr>
      <w:tblGrid>
        <w:gridCol w:w="4608"/>
        <w:gridCol w:w="4431"/>
      </w:tblGrid>
      <w:tr w:rsidR="0095249D" w:rsidRPr="00CE024B" w:rsidTr="00FC7B16">
        <w:tc>
          <w:tcPr>
            <w:tcW w:w="4608" w:type="dxa"/>
          </w:tcPr>
          <w:p w:rsidR="0095249D" w:rsidRPr="00CE024B" w:rsidRDefault="0095249D" w:rsidP="00FC7B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95249D" w:rsidRPr="00CE024B" w:rsidRDefault="0095249D" w:rsidP="00FC7B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4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5249D" w:rsidRPr="00CE024B" w:rsidRDefault="0095249D" w:rsidP="00FC7B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</w:t>
            </w:r>
            <w:r w:rsidRPr="00CE024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95249D" w:rsidRPr="00CE024B" w:rsidRDefault="0095249D" w:rsidP="00FC7B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«Пектубаевское сельское поселение»</w:t>
            </w:r>
          </w:p>
          <w:p w:rsidR="0095249D" w:rsidRPr="00CE024B" w:rsidRDefault="0095249D" w:rsidP="00FC7B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4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октября </w:t>
            </w:r>
            <w:r w:rsidRPr="00CE024B">
              <w:rPr>
                <w:rFonts w:ascii="Times New Roman" w:hAnsi="Times New Roman"/>
                <w:sz w:val="24"/>
                <w:szCs w:val="24"/>
              </w:rPr>
              <w:t xml:space="preserve"> 2017 г. № </w:t>
            </w:r>
            <w:r w:rsidR="00A3311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95249D" w:rsidRPr="00E84A93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7CDC" w:rsidRDefault="00CA7CDC" w:rsidP="00CA7CD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</w:p>
    <w:p w:rsidR="0095249D" w:rsidRDefault="0095249D" w:rsidP="009524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249D" w:rsidRDefault="0095249D" w:rsidP="009524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многоквартирных домов, расположенных на территории муниципального образования «</w:t>
      </w:r>
      <w:r w:rsidR="00A3311F">
        <w:rPr>
          <w:rFonts w:ascii="Times New Roman" w:hAnsi="Times New Roman" w:cs="Times New Roman"/>
          <w:b/>
          <w:sz w:val="28"/>
          <w:szCs w:val="28"/>
        </w:rPr>
        <w:t>Пектубаевское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собственники помещений в которых в течение шести месяцев после официального опубликования постановления Правительства Республики Марий Эл от 31.12.2013 г. № 460 «Об утверждении республиканской адресной программы «Проведение капитального ремонта общего имущества в многоквартирных домах» на 2014 - 2043 годы» не выбрали способ формирования фонда капитального ремонта</w:t>
      </w:r>
      <w:proofErr w:type="gramEnd"/>
    </w:p>
    <w:p w:rsidR="0095249D" w:rsidRDefault="0095249D" w:rsidP="009524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9D" w:rsidRPr="00EC39A7" w:rsidRDefault="0095249D" w:rsidP="009524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9039"/>
      </w:tblGrid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№ п/п</w:t>
            </w:r>
          </w:p>
        </w:tc>
        <w:tc>
          <w:tcPr>
            <w:tcW w:w="9213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Адрес многоквартирного дома</w:t>
            </w:r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A3311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Советская, д. 40.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Советская, д. 42.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Коммунистическая, д. 1.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Коммунистическая, д. 3.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Микрорайона, д. 1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Микрорайона, д. 2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7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Микрорайона, д. 4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8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Микрорайона, д. 5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9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A3311F" w:rsidP="00FC7B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Марий Эл, Новоторъяльский район, с. Пектубаево, ул. Микрорайона, д. 6</w:t>
            </w:r>
            <w:proofErr w:type="gramEnd"/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10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CA7CDC" w:rsidP="00FC7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Эл, Новоторъяльский район, д. Елембаево, ул. Центральная, д. 17</w:t>
            </w:r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11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CA7CDC" w:rsidP="00FC7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Эл, Новоторъяльский район, д. Елембаево, ул. Центральная, д. 19</w:t>
            </w:r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12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CA7CDC" w:rsidP="00FC7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Эл, Новоторъяльский район, д. Елембаево, ул. Центральная, д. 21</w:t>
            </w:r>
          </w:p>
        </w:tc>
      </w:tr>
      <w:tr w:rsidR="0095249D" w:rsidRPr="003F51F7" w:rsidTr="00CA7CDC">
        <w:tc>
          <w:tcPr>
            <w:tcW w:w="534" w:type="dxa"/>
            <w:shd w:val="clear" w:color="auto" w:fill="auto"/>
          </w:tcPr>
          <w:p w:rsidR="0095249D" w:rsidRPr="003F51F7" w:rsidRDefault="0095249D" w:rsidP="00FC7B16">
            <w:pPr>
              <w:jc w:val="center"/>
              <w:rPr>
                <w:rFonts w:ascii="Times New Roman" w:hAnsi="Times New Roman"/>
              </w:rPr>
            </w:pPr>
            <w:r w:rsidRPr="003F51F7">
              <w:rPr>
                <w:rFonts w:ascii="Times New Roman" w:hAnsi="Times New Roman"/>
              </w:rPr>
              <w:t>13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95249D" w:rsidRPr="003F51F7" w:rsidRDefault="00CA7CDC" w:rsidP="00FC7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Эл, Новоторъяльский район, д. Елембаево, ул. Центральная, д. 22</w:t>
            </w:r>
          </w:p>
        </w:tc>
      </w:tr>
    </w:tbl>
    <w:p w:rsidR="0095249D" w:rsidRPr="003F51F7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49D" w:rsidRPr="003F51F7" w:rsidRDefault="0095249D" w:rsidP="0095249D">
      <w:pPr>
        <w:pStyle w:val="p4bullet3gifbullet1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51FC" w:rsidRPr="00F73F73" w:rsidRDefault="009751FC" w:rsidP="00F73F73">
      <w:pPr>
        <w:spacing w:after="0" w:line="240" w:lineRule="auto"/>
        <w:rPr>
          <w:rFonts w:ascii="Times New Roman" w:hAnsi="Times New Roman" w:cs="Times New Roman"/>
        </w:rPr>
      </w:pPr>
    </w:p>
    <w:sectPr w:rsidR="009751FC" w:rsidRPr="00F73F73" w:rsidSect="00CA7CD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145F"/>
    <w:rsid w:val="00031389"/>
    <w:rsid w:val="0003445F"/>
    <w:rsid w:val="00234F9F"/>
    <w:rsid w:val="00264F50"/>
    <w:rsid w:val="002751D0"/>
    <w:rsid w:val="003D0B16"/>
    <w:rsid w:val="00431639"/>
    <w:rsid w:val="00460EA0"/>
    <w:rsid w:val="00464BB6"/>
    <w:rsid w:val="004B5310"/>
    <w:rsid w:val="004F3F30"/>
    <w:rsid w:val="005D145F"/>
    <w:rsid w:val="006B2739"/>
    <w:rsid w:val="00752AE8"/>
    <w:rsid w:val="007D0007"/>
    <w:rsid w:val="00863F6E"/>
    <w:rsid w:val="008F172A"/>
    <w:rsid w:val="0095249D"/>
    <w:rsid w:val="00967647"/>
    <w:rsid w:val="009751FC"/>
    <w:rsid w:val="009927B5"/>
    <w:rsid w:val="009F513D"/>
    <w:rsid w:val="00A3311F"/>
    <w:rsid w:val="00B14980"/>
    <w:rsid w:val="00CA7CDC"/>
    <w:rsid w:val="00F220FD"/>
    <w:rsid w:val="00F73F73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4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4bullet3gifbullet1gif">
    <w:name w:val="p4bullet3gifbullet1.gif"/>
    <w:basedOn w:val="a"/>
    <w:rsid w:val="0095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952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2017-10-17T10:25:00Z</cp:lastPrinted>
  <dcterms:created xsi:type="dcterms:W3CDTF">2016-11-02T06:58:00Z</dcterms:created>
  <dcterms:modified xsi:type="dcterms:W3CDTF">2017-10-17T10:26:00Z</dcterms:modified>
</cp:coreProperties>
</file>