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B7" w:rsidRPr="009D7BB7" w:rsidRDefault="009D7BB7" w:rsidP="009D7BB7">
      <w:pPr>
        <w:tabs>
          <w:tab w:val="left" w:pos="1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12"/>
          <w:szCs w:val="12"/>
        </w:rPr>
        <w:t xml:space="preserve">              </w:t>
      </w:r>
      <w:r w:rsidRPr="009D7BB7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2D44BC">
        <w:rPr>
          <w:rFonts w:ascii="Times New Roman" w:hAnsi="Times New Roman" w:cs="Times New Roman"/>
          <w:sz w:val="24"/>
          <w:szCs w:val="24"/>
        </w:rPr>
        <w:t xml:space="preserve"> </w:t>
      </w:r>
      <w:r w:rsidRPr="009D7B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D7BB7" w:rsidRPr="009D7BB7" w:rsidRDefault="009D7BB7" w:rsidP="009D7BB7">
      <w:pPr>
        <w:tabs>
          <w:tab w:val="left" w:pos="1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BB7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9D7BB7" w:rsidRPr="009D7BB7" w:rsidRDefault="009D7BB7" w:rsidP="009D7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BB7" w:rsidRPr="009D7BB7" w:rsidRDefault="009D7BB7" w:rsidP="009D7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BB7">
        <w:rPr>
          <w:rFonts w:ascii="Times New Roman" w:hAnsi="Times New Roman" w:cs="Times New Roman"/>
          <w:sz w:val="24"/>
          <w:szCs w:val="24"/>
        </w:rPr>
        <w:t>РЕШЕНИЕ</w:t>
      </w:r>
    </w:p>
    <w:p w:rsidR="009D7BB7" w:rsidRPr="009D7BB7" w:rsidRDefault="009D7BB7" w:rsidP="009D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BB7" w:rsidRPr="009D7BB7" w:rsidRDefault="009D7BB7" w:rsidP="009D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Тридцатая</w:t>
      </w:r>
      <w:r w:rsidRPr="009D7BB7">
        <w:rPr>
          <w:rFonts w:ascii="Times New Roman" w:hAnsi="Times New Roman" w:cs="Times New Roman"/>
          <w:sz w:val="24"/>
          <w:szCs w:val="24"/>
        </w:rPr>
        <w:t xml:space="preserve"> сессия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7BB7">
        <w:rPr>
          <w:rFonts w:ascii="Times New Roman" w:hAnsi="Times New Roman" w:cs="Times New Roman"/>
          <w:sz w:val="24"/>
          <w:szCs w:val="24"/>
        </w:rPr>
        <w:t xml:space="preserve"> № </w:t>
      </w:r>
      <w:r w:rsidR="004215ED">
        <w:rPr>
          <w:rFonts w:ascii="Times New Roman" w:hAnsi="Times New Roman" w:cs="Times New Roman"/>
          <w:sz w:val="24"/>
          <w:szCs w:val="24"/>
        </w:rPr>
        <w:t>19</w:t>
      </w:r>
      <w:r w:rsidR="00D41E0C">
        <w:rPr>
          <w:rFonts w:ascii="Times New Roman" w:hAnsi="Times New Roman" w:cs="Times New Roman"/>
          <w:sz w:val="24"/>
          <w:szCs w:val="24"/>
        </w:rPr>
        <w:t>5</w:t>
      </w:r>
    </w:p>
    <w:p w:rsidR="009D7BB7" w:rsidRPr="009D7BB7" w:rsidRDefault="009D7BB7" w:rsidP="009D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BB7">
        <w:rPr>
          <w:rFonts w:ascii="Times New Roman" w:hAnsi="Times New Roman" w:cs="Times New Roman"/>
          <w:sz w:val="24"/>
          <w:szCs w:val="24"/>
        </w:rPr>
        <w:t xml:space="preserve">шестого созыва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15 февраля </w:t>
      </w:r>
      <w:r w:rsidRPr="009D7BB7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9D7BB7" w:rsidRPr="009D7BB7" w:rsidRDefault="009D7BB7" w:rsidP="009D7B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9D7BB7" w:rsidRPr="009D7BB7" w:rsidRDefault="009D7BB7" w:rsidP="009D7BB7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4BC" w:rsidRPr="002D44BC" w:rsidRDefault="002D44BC" w:rsidP="002D44B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2D44BC" w:rsidRPr="002D44BC" w:rsidRDefault="002D44BC" w:rsidP="002D44B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BC" w:rsidRPr="002D44BC" w:rsidRDefault="002D44BC" w:rsidP="002D44B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BC" w:rsidRPr="002D44BC" w:rsidRDefault="002D44BC" w:rsidP="002D44B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18 Федерального закона от 24 июля                  2007г. № 209-ФЗ «О развитии малого и среднего предпринимательства в Российской Федерации»</w:t>
      </w:r>
    </w:p>
    <w:p w:rsidR="002D44BC" w:rsidRPr="002D44BC" w:rsidRDefault="002D44BC" w:rsidP="002D44BC">
      <w:pPr>
        <w:shd w:val="clear" w:color="auto" w:fill="FFFFFF"/>
        <w:tabs>
          <w:tab w:val="left" w:pos="0"/>
        </w:tabs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sz w:val="28"/>
          <w:szCs w:val="28"/>
        </w:rPr>
        <w:t xml:space="preserve">                     Собрание депутатов муниципального образования</w:t>
      </w:r>
    </w:p>
    <w:p w:rsidR="002D44BC" w:rsidRPr="002D44BC" w:rsidRDefault="002D44BC" w:rsidP="002D44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район»»</w:t>
      </w:r>
    </w:p>
    <w:p w:rsidR="002D44BC" w:rsidRPr="002D44BC" w:rsidRDefault="002D44BC" w:rsidP="002D44BC">
      <w:pPr>
        <w:shd w:val="clear" w:color="auto" w:fill="FFFFFF"/>
        <w:tabs>
          <w:tab w:val="left" w:pos="0"/>
        </w:tabs>
        <w:spacing w:after="0" w:line="240" w:lineRule="auto"/>
        <w:ind w:firstLine="79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  Е  Ш  А Е  Т:</w:t>
      </w:r>
    </w:p>
    <w:p w:rsidR="002D44BC" w:rsidRPr="002D44BC" w:rsidRDefault="002D44BC" w:rsidP="002D44BC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D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прилагаемые Правила формирования, ведения и обязательного опубликования перечня муниципального имущества, находящегося в собственности муниципального образования «Новоторъяльский муниципальный район»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2D44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44BC" w:rsidRPr="002D44BC" w:rsidRDefault="002D44BC" w:rsidP="002D44BC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hAnsi="Times New Roman" w:cs="Times New Roman"/>
          <w:color w:val="000000"/>
          <w:spacing w:val="4"/>
          <w:sz w:val="28"/>
          <w:szCs w:val="28"/>
        </w:rPr>
        <w:t>2.</w:t>
      </w: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Уполномочить Администрацию муниципального образования «Новоторъяльский муниципальный район»  осуществлять:</w:t>
      </w:r>
    </w:p>
    <w:p w:rsidR="002D44BC" w:rsidRPr="002D44BC" w:rsidRDefault="002D44BC" w:rsidP="002D44BC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D44BC" w:rsidRPr="002D44BC" w:rsidRDefault="002D44BC" w:rsidP="002D44BC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</w:t>
      </w: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инфраструктуру поддержки субъектов малого и среднего предпринимательства.</w:t>
      </w:r>
    </w:p>
    <w:p w:rsidR="002D44BC" w:rsidRPr="002D44BC" w:rsidRDefault="002D44BC" w:rsidP="002D44BC">
      <w:pPr>
        <w:pStyle w:val="a4"/>
        <w:spacing w:after="0"/>
        <w:ind w:firstLine="828"/>
        <w:jc w:val="both"/>
        <w:rPr>
          <w:color w:val="000000"/>
          <w:spacing w:val="4"/>
          <w:sz w:val="28"/>
          <w:szCs w:val="28"/>
        </w:rPr>
      </w:pPr>
      <w:r w:rsidRPr="002D44BC">
        <w:rPr>
          <w:color w:val="000000"/>
          <w:spacing w:val="4"/>
          <w:sz w:val="28"/>
          <w:szCs w:val="28"/>
        </w:rPr>
        <w:t>3.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 Администрации муниципального образования «Новоторъяльский муниципальный район»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а) срок договора аренды составляет не менее 5 лет;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б) арендная плата вносится в следующем порядке: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первый год аренды - 40 процентов размера арендной платы;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 второй год аренды - 60 процентов размера арендной платы;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третий год аренды - 80 процентов размера арендной платы;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четвертый год аренды и далее - 100 процентов размера арендной платы.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5. Признать утратившим силу решение собрания депутатов 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муниципального образования «Новоторъяльский муниципальный район» от 18 мая 2016 года № 138.</w:t>
      </w:r>
    </w:p>
    <w:p w:rsidR="002D44BC" w:rsidRPr="002D44BC" w:rsidRDefault="002D44BC" w:rsidP="002D44BC">
      <w:pPr>
        <w:spacing w:after="0" w:line="240" w:lineRule="auto"/>
        <w:ind w:firstLine="792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6. 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Обнародовать настоящее решение на информационном стенде Собрания депутатов муниципального образования «Новоторъяльский муниципальный район» 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6" w:history="1">
        <w:r w:rsidRPr="002D44BC">
          <w:rPr>
            <w:rStyle w:val="a3"/>
            <w:rFonts w:ascii="Times New Roman" w:hAnsi="Times New Roman" w:cs="Times New Roman"/>
            <w:sz w:val="28"/>
            <w:szCs w:val="28"/>
          </w:rPr>
          <w:t>http://toryal.ru</w:t>
        </w:r>
      </w:hyperlink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/>
        </w:rPr>
        <w:t>.</w:t>
      </w:r>
    </w:p>
    <w:p w:rsidR="002D44BC" w:rsidRPr="002D44BC" w:rsidRDefault="002D44BC" w:rsidP="002D44BC">
      <w:pPr>
        <w:pStyle w:val="a4"/>
        <w:spacing w:after="0"/>
        <w:ind w:firstLine="828"/>
        <w:jc w:val="both"/>
        <w:rPr>
          <w:sz w:val="28"/>
          <w:szCs w:val="28"/>
        </w:rPr>
      </w:pPr>
      <w:r w:rsidRPr="002D44BC">
        <w:rPr>
          <w:color w:val="000000"/>
          <w:spacing w:val="-15"/>
          <w:sz w:val="28"/>
          <w:szCs w:val="28"/>
        </w:rPr>
        <w:t>7</w:t>
      </w:r>
      <w:r w:rsidRPr="002D44BC">
        <w:rPr>
          <w:color w:val="000000"/>
          <w:spacing w:val="-1"/>
          <w:sz w:val="28"/>
          <w:szCs w:val="28"/>
        </w:rPr>
        <w:t>.  Контроль за исполнением настоящего решения возложить  на постоянную комиссию по бюджету, налогам, собственности и инвестициям.</w:t>
      </w:r>
    </w:p>
    <w:p w:rsidR="002D44BC" w:rsidRPr="002D44BC" w:rsidRDefault="002D44BC" w:rsidP="002D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BC" w:rsidRPr="002D44BC" w:rsidRDefault="002D44BC" w:rsidP="002D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D44BC" w:rsidRPr="002D44BC" w:rsidRDefault="002D44BC" w:rsidP="002D44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район»,                               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44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председатель Собрания депутатов                                             Е.Небогатиков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before="5" w:after="0" w:line="240" w:lineRule="auto"/>
        <w:ind w:left="12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D44BC" w:rsidRDefault="002D4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решением Собрания депутатов  муниципального образования «Новоторъяльский муниципальный район»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 февраля</w:t>
      </w:r>
      <w:r w:rsidRPr="002D44BC">
        <w:rPr>
          <w:rFonts w:ascii="Times New Roman" w:hAnsi="Times New Roman" w:cs="Times New Roman"/>
          <w:sz w:val="28"/>
          <w:szCs w:val="28"/>
        </w:rPr>
        <w:t xml:space="preserve">2017 № </w:t>
      </w:r>
      <w:r>
        <w:rPr>
          <w:rFonts w:ascii="Times New Roman" w:hAnsi="Times New Roman" w:cs="Times New Roman"/>
          <w:sz w:val="28"/>
          <w:szCs w:val="28"/>
        </w:rPr>
        <w:t xml:space="preserve"> 195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формирования, ведения и обязательного опубликования перечня муниципального имущества, находящегося в собственности муниципального образования «Новоторъяльский муниципальный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</w:t>
      </w:r>
      <w:r w:rsidRPr="002D44BC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находящегося в собственности муниципального образования «Новоторъяльский муниципальный район»,</w:t>
      </w:r>
      <w:r w:rsidRPr="002D44BC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д)  муниципальное имущество не включено в прогнозный план  приватизации имущества, находящегося в собственности муниципального образования «Новоторъльский муниципальный район»;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lastRenderedPageBreak/>
        <w:t>е) муниципальное имущество не признано аварийным и подлежащим сносу или реконструкции.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муниципального образования «Новоторъяльский 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 муниципальный район»</w:t>
      </w:r>
      <w:r w:rsidRPr="002D44BC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4BC">
        <w:rPr>
          <w:rFonts w:ascii="Times New Roman" w:hAnsi="Times New Roman" w:cs="Times New Roman"/>
          <w:sz w:val="28"/>
          <w:szCs w:val="28"/>
        </w:rPr>
        <w:t>- Администрация)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пункте 3 настоящих Правил, осуществляется   в течение 30 календарных дней с даты его поступления. По результатам рассмотрения предложения 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Администрация</w:t>
      </w:r>
      <w:r w:rsidRPr="002D44BC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Администрация</w:t>
      </w:r>
      <w:r w:rsidRPr="002D44BC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6. 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Администрация</w:t>
      </w:r>
      <w:r w:rsidRPr="002D44BC">
        <w:rPr>
          <w:rFonts w:ascii="Times New Roman" w:hAnsi="Times New Roman" w:cs="Times New Roman"/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7. 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Администрация</w:t>
      </w:r>
      <w:r w:rsidRPr="002D44BC">
        <w:rPr>
          <w:rFonts w:ascii="Times New Roman" w:hAnsi="Times New Roman" w:cs="Times New Roman"/>
          <w:sz w:val="28"/>
          <w:szCs w:val="28"/>
        </w:rPr>
        <w:t xml:space="preserve"> исключает сведения о муниципальном имуществе из перечня в одном из следующих случаев: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Федерации, Республики Марий Эл порядке принято решение  о его использовании для государственных или республиканских нужд либо для иных целей;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8. Проект правового акта муниципального образования об утверждении перечня, о включении муниципального имущества в перечень, об исключении муниципального имущества из перечня готовится Администрацией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9. Перечень ведется на бумажном  и электронном носителях по форме согласно приложения к настоящим Правилам.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10. Ведение перечня и его опубликование осуществляется Администрацией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а) обязательному опубликованию в Новоторъяльской районной газете «Ялысе увер» - «Сельская новь» - в течение 10 рабочих дней со дня утверждения;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б) размещению на </w:t>
      </w:r>
      <w:r w:rsidRPr="002D44BC">
        <w:rPr>
          <w:rFonts w:ascii="Times New Roman" w:hAnsi="Times New Roman" w:cs="Times New Roman"/>
          <w:sz w:val="28"/>
          <w:szCs w:val="28"/>
          <w:lang/>
        </w:rPr>
        <w:t xml:space="preserve">на официальном сайте муниципального образования «Новоторъяльский муниципальный район» </w:t>
      </w:r>
      <w:hyperlink r:id="rId7" w:history="1">
        <w:r w:rsidRPr="002D44BC">
          <w:rPr>
            <w:rStyle w:val="a3"/>
            <w:rFonts w:ascii="Times New Roman" w:hAnsi="Times New Roman" w:cs="Times New Roman"/>
            <w:sz w:val="28"/>
            <w:szCs w:val="28"/>
          </w:rPr>
          <w:t>http://toryal.ru</w:t>
        </w:r>
      </w:hyperlink>
      <w:r w:rsidRPr="002D44BC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2D44B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9D7BB7" w:rsidRDefault="009D7BB7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sz w:val="28"/>
          <w:szCs w:val="28"/>
        </w:rPr>
      </w:pPr>
    </w:p>
    <w:p w:rsidR="009D7BB7" w:rsidRDefault="009D7BB7" w:rsidP="004215ED">
      <w:pPr>
        <w:shd w:val="clear" w:color="auto" w:fill="FFFFFF"/>
        <w:tabs>
          <w:tab w:val="left" w:pos="1171"/>
        </w:tabs>
        <w:spacing w:line="240" w:lineRule="auto"/>
        <w:ind w:firstLine="708"/>
        <w:jc w:val="both"/>
        <w:rPr>
          <w:sz w:val="28"/>
          <w:szCs w:val="28"/>
        </w:rPr>
      </w:pPr>
    </w:p>
    <w:p w:rsidR="009D7BB7" w:rsidRDefault="009D7BB7" w:rsidP="009D7BB7">
      <w:pPr>
        <w:sectPr w:rsidR="009D7BB7" w:rsidSect="004215ED">
          <w:footerReference w:type="default" r:id="rId8"/>
          <w:pgSz w:w="11906" w:h="16838"/>
          <w:pgMar w:top="567" w:right="1134" w:bottom="567" w:left="1701" w:header="720" w:footer="720" w:gutter="0"/>
          <w:cols w:space="720"/>
          <w:docGrid w:linePitch="360"/>
        </w:sectPr>
      </w:pPr>
    </w:p>
    <w:p w:rsidR="009D7BB7" w:rsidRDefault="009D7BB7" w:rsidP="009D7BB7">
      <w:pPr>
        <w:tabs>
          <w:tab w:val="left" w:pos="900"/>
          <w:tab w:val="left" w:pos="1080"/>
        </w:tabs>
        <w:ind w:left="7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D7BB7" w:rsidRDefault="009D7BB7" w:rsidP="009D7BB7">
      <w:pPr>
        <w:tabs>
          <w:tab w:val="left" w:pos="900"/>
          <w:tab w:val="left" w:pos="1080"/>
        </w:tabs>
        <w:ind w:left="753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Правилам формирования, ведения и обязательного опубликования перечня муниципального имущества, находящегося в собственности муниципального образования «Новоторъяльский муниципальный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9D7BB7" w:rsidRDefault="009D7BB7" w:rsidP="009D7BB7">
      <w:pPr>
        <w:tabs>
          <w:tab w:val="left" w:pos="900"/>
          <w:tab w:val="left" w:pos="10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Перечень</w:t>
      </w:r>
    </w:p>
    <w:p w:rsidR="009D7BB7" w:rsidRDefault="009D7BB7" w:rsidP="009D7BB7">
      <w:pPr>
        <w:tabs>
          <w:tab w:val="left" w:pos="900"/>
          <w:tab w:val="left" w:pos="1080"/>
        </w:tabs>
        <w:ind w:left="-12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имущества, находящегося в собственности муниципального образования «Новоторъяльский муниципальный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    «О развитии малого и среднего предпринимательства в Российской Федерации»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5"/>
        <w:gridCol w:w="1500"/>
        <w:gridCol w:w="1316"/>
        <w:gridCol w:w="1389"/>
        <w:gridCol w:w="1389"/>
        <w:gridCol w:w="1602"/>
        <w:gridCol w:w="641"/>
        <w:gridCol w:w="1367"/>
        <w:gridCol w:w="1192"/>
        <w:gridCol w:w="1822"/>
        <w:gridCol w:w="1190"/>
        <w:gridCol w:w="972"/>
      </w:tblGrid>
      <w:tr w:rsidR="009D7BB7" w:rsidTr="003F03B5">
        <w:tc>
          <w:tcPr>
            <w:tcW w:w="9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№ в реестре имущеста</w:t>
            </w:r>
          </w:p>
        </w:tc>
        <w:tc>
          <w:tcPr>
            <w:tcW w:w="15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Адрес(местоположение)</w:t>
            </w:r>
          </w:p>
        </w:tc>
        <w:tc>
          <w:tcPr>
            <w:tcW w:w="63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Структуированный адрес объекта</w:t>
            </w:r>
          </w:p>
        </w:tc>
        <w:tc>
          <w:tcPr>
            <w:tcW w:w="13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Вид нелвижимости;</w:t>
            </w:r>
            <w:r>
              <w:br/>
              <w:t>движуемое имущество</w:t>
            </w:r>
          </w:p>
        </w:tc>
        <w:tc>
          <w:tcPr>
            <w:tcW w:w="51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  <w:rPr>
                <w:sz w:val="4"/>
                <w:szCs w:val="4"/>
              </w:rPr>
            </w:pPr>
            <w:r>
              <w:t>Сведения о недвижимом имуществе</w:t>
            </w:r>
          </w:p>
        </w:tc>
      </w:tr>
      <w:tr w:rsidR="009D7BB7" w:rsidTr="003F03B5">
        <w:tc>
          <w:tcPr>
            <w:tcW w:w="9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snapToGrid w:val="0"/>
              <w:rPr>
                <w:sz w:val="4"/>
                <w:szCs w:val="4"/>
              </w:rPr>
            </w:pPr>
          </w:p>
        </w:tc>
        <w:tc>
          <w:tcPr>
            <w:tcW w:w="15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snapToGrid w:val="0"/>
              <w:rPr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Наименование поселения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Тип и наименование элемента улично-дорожной сети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  <w:rPr>
                <w:sz w:val="4"/>
                <w:szCs w:val="4"/>
              </w:rPr>
            </w:pPr>
            <w:r>
              <w:t>Номер дома</w:t>
            </w:r>
          </w:p>
        </w:tc>
        <w:tc>
          <w:tcPr>
            <w:tcW w:w="13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snapToGrid w:val="0"/>
              <w:rPr>
                <w:sz w:val="4"/>
                <w:szCs w:val="4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Кадастровый номер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 xml:space="preserve">Тип (площадь- для зем участков зданий, помещений; протяженность, объем, глубина залегания согласноппроектной документации -для объектов незавершенного строительства, 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 xml:space="preserve">Фактическое значение 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Ед измерения</w:t>
            </w:r>
          </w:p>
        </w:tc>
      </w:tr>
      <w:tr w:rsidR="009D7BB7" w:rsidTr="003F03B5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1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2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3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5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6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7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8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9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11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12</w:t>
            </w:r>
          </w:p>
        </w:tc>
      </w:tr>
    </w:tbl>
    <w:p w:rsidR="009D7BB7" w:rsidRDefault="009D7BB7" w:rsidP="009D7BB7">
      <w:pPr>
        <w:tabs>
          <w:tab w:val="left" w:pos="900"/>
          <w:tab w:val="left" w:pos="1080"/>
        </w:tabs>
        <w:ind w:left="-12"/>
        <w:jc w:val="center"/>
      </w:pPr>
    </w:p>
    <w:p w:rsidR="009D7BB7" w:rsidRDefault="009D7BB7" w:rsidP="009D7BB7">
      <w:pPr>
        <w:tabs>
          <w:tab w:val="left" w:pos="900"/>
          <w:tab w:val="left" w:pos="1080"/>
        </w:tabs>
        <w:ind w:left="-12"/>
        <w:jc w:val="center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73"/>
        <w:gridCol w:w="2006"/>
        <w:gridCol w:w="2829"/>
        <w:gridCol w:w="2374"/>
        <w:gridCol w:w="1205"/>
        <w:gridCol w:w="1408"/>
        <w:gridCol w:w="2380"/>
      </w:tblGrid>
      <w:tr w:rsidR="009D7BB7" w:rsidTr="003F03B5">
        <w:tc>
          <w:tcPr>
            <w:tcW w:w="23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lastRenderedPageBreak/>
              <w:t>Наименование объекта учета</w:t>
            </w:r>
          </w:p>
        </w:tc>
        <w:tc>
          <w:tcPr>
            <w:tcW w:w="122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  <w:rPr>
                <w:sz w:val="4"/>
                <w:szCs w:val="4"/>
              </w:rPr>
            </w:pPr>
            <w:r>
              <w:t xml:space="preserve">Сведения о движимом имуществе </w:t>
            </w:r>
          </w:p>
        </w:tc>
      </w:tr>
      <w:tr w:rsidR="009D7BB7" w:rsidTr="003F03B5">
        <w:tc>
          <w:tcPr>
            <w:tcW w:w="23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snapToGrid w:val="0"/>
              <w:rPr>
                <w:sz w:val="4"/>
                <w:szCs w:val="4"/>
              </w:rPr>
            </w:pP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Наименование объекта учета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Марка, модель</w:t>
            </w:r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Год выпуска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9D7BB7" w:rsidTr="003F03B5">
        <w:tc>
          <w:tcPr>
            <w:tcW w:w="2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</w:pPr>
            <w:r>
              <w:t>13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14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15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16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17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18</w:t>
            </w: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19</w:t>
            </w:r>
          </w:p>
        </w:tc>
      </w:tr>
    </w:tbl>
    <w:p w:rsidR="009D7BB7" w:rsidRDefault="009D7BB7" w:rsidP="009D7BB7">
      <w:pPr>
        <w:tabs>
          <w:tab w:val="left" w:pos="900"/>
          <w:tab w:val="left" w:pos="1080"/>
        </w:tabs>
        <w:ind w:left="-12"/>
        <w:jc w:val="center"/>
      </w:pPr>
    </w:p>
    <w:p w:rsidR="009D7BB7" w:rsidRDefault="009D7BB7" w:rsidP="009D7BB7">
      <w:pPr>
        <w:tabs>
          <w:tab w:val="left" w:pos="900"/>
          <w:tab w:val="left" w:pos="1080"/>
        </w:tabs>
        <w:ind w:left="-12"/>
        <w:jc w:val="center"/>
      </w:pPr>
    </w:p>
    <w:p w:rsidR="009D7BB7" w:rsidRDefault="009D7BB7" w:rsidP="009D7BB7">
      <w:pPr>
        <w:tabs>
          <w:tab w:val="left" w:pos="900"/>
          <w:tab w:val="left" w:pos="1080"/>
        </w:tabs>
        <w:ind w:left="-12"/>
        <w:jc w:val="center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03"/>
        <w:gridCol w:w="1966"/>
        <w:gridCol w:w="1669"/>
        <w:gridCol w:w="3553"/>
        <w:gridCol w:w="3184"/>
      </w:tblGrid>
      <w:tr w:rsidR="009D7BB7" w:rsidTr="003F03B5">
        <w:trPr>
          <w:trHeight w:val="776"/>
        </w:trPr>
        <w:tc>
          <w:tcPr>
            <w:tcW w:w="145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</w:p>
        </w:tc>
      </w:tr>
      <w:tr w:rsidR="009D7BB7" w:rsidTr="003F03B5">
        <w:trPr>
          <w:trHeight w:val="824"/>
        </w:trPr>
        <w:tc>
          <w:tcPr>
            <w:tcW w:w="145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 xml:space="preserve">субъекта малого и среднего предпринимательства </w:t>
            </w:r>
          </w:p>
        </w:tc>
      </w:tr>
      <w:tr w:rsidR="009D7BB7" w:rsidTr="003F03B5">
        <w:trPr>
          <w:trHeight w:val="716"/>
        </w:trPr>
        <w:tc>
          <w:tcPr>
            <w:tcW w:w="78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 xml:space="preserve">Правообладатель </w:t>
            </w:r>
          </w:p>
        </w:tc>
        <w:tc>
          <w:tcPr>
            <w:tcW w:w="67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 xml:space="preserve">Документы основание </w:t>
            </w:r>
          </w:p>
        </w:tc>
      </w:tr>
      <w:tr w:rsidR="009D7BB7" w:rsidTr="003F03B5">
        <w:trPr>
          <w:trHeight w:val="516"/>
        </w:trPr>
        <w:tc>
          <w:tcPr>
            <w:tcW w:w="4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  <w:jc w:val="center"/>
            </w:pPr>
            <w:r>
              <w:t xml:space="preserve">Полное наименование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</w:pPr>
            <w:r>
              <w:t xml:space="preserve">ОГРН 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</w:pPr>
            <w:r>
              <w:t xml:space="preserve">ИНН </w:t>
            </w:r>
          </w:p>
        </w:tc>
        <w:tc>
          <w:tcPr>
            <w:tcW w:w="3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</w:pPr>
            <w:r>
              <w:t>Дата заключения договора</w:t>
            </w:r>
          </w:p>
        </w:tc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</w:pPr>
            <w:r>
              <w:t xml:space="preserve">Дата окончания действия договора </w:t>
            </w:r>
          </w:p>
        </w:tc>
      </w:tr>
      <w:tr w:rsidR="009D7BB7" w:rsidTr="003F03B5">
        <w:trPr>
          <w:trHeight w:val="396"/>
        </w:trPr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  <w:jc w:val="center"/>
            </w:pPr>
            <w:r>
              <w:t>20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  <w:jc w:val="center"/>
            </w:pPr>
            <w:r>
              <w:t>21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  <w:jc w:val="center"/>
            </w:pPr>
            <w:r>
              <w:t>22</w:t>
            </w:r>
          </w:p>
        </w:tc>
        <w:tc>
          <w:tcPr>
            <w:tcW w:w="3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  <w:jc w:val="center"/>
            </w:pPr>
            <w:r>
              <w:t>23</w:t>
            </w:r>
          </w:p>
        </w:tc>
        <w:tc>
          <w:tcPr>
            <w:tcW w:w="3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  <w:jc w:val="center"/>
            </w:pPr>
            <w:r>
              <w:t>24</w:t>
            </w:r>
          </w:p>
        </w:tc>
      </w:tr>
    </w:tbl>
    <w:p w:rsidR="007F5858" w:rsidRDefault="007F5858" w:rsidP="009D7BB7"/>
    <w:sectPr w:rsidR="007F5858" w:rsidSect="009D7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AC" w:rsidRDefault="003B5FAC" w:rsidP="00FF3F3F">
      <w:pPr>
        <w:spacing w:after="0" w:line="240" w:lineRule="auto"/>
      </w:pPr>
      <w:r>
        <w:separator/>
      </w:r>
    </w:p>
  </w:endnote>
  <w:endnote w:type="continuationSeparator" w:id="1">
    <w:p w:rsidR="003B5FAC" w:rsidRDefault="003B5FAC" w:rsidP="00FF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3F" w:rsidRDefault="00FF3F3F">
    <w:pPr>
      <w:pStyle w:val="a7"/>
    </w:pPr>
  </w:p>
  <w:p w:rsidR="00FF3F3F" w:rsidRDefault="00FF3F3F">
    <w:pPr>
      <w:pStyle w:val="a7"/>
    </w:pPr>
  </w:p>
  <w:p w:rsidR="00FF3F3F" w:rsidRDefault="00FF3F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AC" w:rsidRDefault="003B5FAC" w:rsidP="00FF3F3F">
      <w:pPr>
        <w:spacing w:after="0" w:line="240" w:lineRule="auto"/>
      </w:pPr>
      <w:r>
        <w:separator/>
      </w:r>
    </w:p>
  </w:footnote>
  <w:footnote w:type="continuationSeparator" w:id="1">
    <w:p w:rsidR="003B5FAC" w:rsidRDefault="003B5FAC" w:rsidP="00FF3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BB7"/>
    <w:rsid w:val="000C5213"/>
    <w:rsid w:val="002C2E9D"/>
    <w:rsid w:val="002D44BC"/>
    <w:rsid w:val="003A4698"/>
    <w:rsid w:val="003B5FAC"/>
    <w:rsid w:val="004069C7"/>
    <w:rsid w:val="004215ED"/>
    <w:rsid w:val="007F5858"/>
    <w:rsid w:val="00810FEC"/>
    <w:rsid w:val="009278ED"/>
    <w:rsid w:val="009D7BB7"/>
    <w:rsid w:val="00D41E0C"/>
    <w:rsid w:val="00F76144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BB7"/>
    <w:rPr>
      <w:color w:val="000080"/>
      <w:u w:val="single"/>
    </w:rPr>
  </w:style>
  <w:style w:type="paragraph" w:styleId="a4">
    <w:name w:val="Body Text"/>
    <w:basedOn w:val="a"/>
    <w:link w:val="a5"/>
    <w:rsid w:val="009D7BB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9D7B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9D7BB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rsid w:val="009D7BB7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7"/>
    <w:rsid w:val="009D7BB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orya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yal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1884</Words>
  <Characters>10743</Characters>
  <Application>Microsoft Office Word</Application>
  <DocSecurity>0</DocSecurity>
  <Lines>89</Lines>
  <Paragraphs>25</Paragraphs>
  <ScaleCrop>false</ScaleCrop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7</cp:revision>
  <dcterms:created xsi:type="dcterms:W3CDTF">2017-02-14T04:58:00Z</dcterms:created>
  <dcterms:modified xsi:type="dcterms:W3CDTF">2017-02-16T04:59:00Z</dcterms:modified>
</cp:coreProperties>
</file>